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DD" w:rsidRPr="001914DD" w:rsidRDefault="001914DD" w:rsidP="00645DED">
      <w:pPr>
        <w:pStyle w:val="Titre"/>
        <w:jc w:val="center"/>
      </w:pPr>
      <w:r w:rsidRPr="001914DD">
        <w:t>Mention Complémentaire Coupe Couleur</w:t>
      </w:r>
    </w:p>
    <w:p w:rsidR="0056314F" w:rsidRDefault="001914DD" w:rsidP="00645DED">
      <w:pPr>
        <w:pStyle w:val="Sous-titre"/>
      </w:pPr>
      <w:r>
        <w:t>Compte-rendu de la réunion du 12 décembre 2016</w:t>
      </w:r>
    </w:p>
    <w:p w:rsidR="00645DED" w:rsidRDefault="00645DED" w:rsidP="00645DED">
      <w:pPr>
        <w:pStyle w:val="Titre2"/>
      </w:pPr>
    </w:p>
    <w:p w:rsidR="001914DD" w:rsidRPr="00645DED" w:rsidRDefault="001914DD" w:rsidP="00645DED">
      <w:pPr>
        <w:pStyle w:val="Titre2"/>
      </w:pPr>
      <w:r w:rsidRPr="00645DED">
        <w:t>Ordre du jour :</w:t>
      </w:r>
      <w:r w:rsidRPr="00645DED">
        <w:rPr>
          <w:rFonts w:ascii="Times New Roman" w:eastAsia="Times New Roman" w:hAnsi="Times New Roman" w:cs="Times New Roman"/>
          <w:color w:val="000000"/>
          <w:sz w:val="24"/>
          <w:szCs w:val="24"/>
          <w:lang w:eastAsia="fr-FR"/>
        </w:rPr>
        <w:t xml:space="preserve"> </w:t>
      </w:r>
    </w:p>
    <w:p w:rsidR="001914DD" w:rsidRPr="001914DD" w:rsidRDefault="001914DD" w:rsidP="00645DED">
      <w:pPr>
        <w:spacing w:after="0" w:line="240" w:lineRule="auto"/>
      </w:pPr>
      <w:r>
        <w:t>Bilan d</w:t>
      </w:r>
      <w:r w:rsidRPr="001914DD">
        <w:t>es épreuves de l'an passé</w:t>
      </w:r>
    </w:p>
    <w:p w:rsidR="001914DD" w:rsidRPr="001914DD" w:rsidRDefault="001914DD" w:rsidP="00645DED">
      <w:pPr>
        <w:spacing w:after="0" w:line="240" w:lineRule="auto"/>
      </w:pPr>
      <w:r w:rsidRPr="001914DD">
        <w:t>Réponses aux questions concernant les épreuves, particulièrement l'épreuve orale sur dossier.</w:t>
      </w:r>
    </w:p>
    <w:p w:rsidR="001914DD" w:rsidRDefault="001914DD" w:rsidP="00645DED">
      <w:pPr>
        <w:spacing w:after="0" w:line="240" w:lineRule="auto"/>
      </w:pPr>
      <w:r>
        <w:t xml:space="preserve"> Mise en commun des expériences de suivi et d’évaluation des dossiers par les enseignants</w:t>
      </w:r>
    </w:p>
    <w:p w:rsidR="001914DD" w:rsidRDefault="001914DD" w:rsidP="00645DED">
      <w:pPr>
        <w:pStyle w:val="Titre1"/>
      </w:pPr>
      <w:r>
        <w:t>Rappel des résultats</w:t>
      </w:r>
    </w:p>
    <w:p w:rsidR="00645DED" w:rsidRPr="00645DED" w:rsidRDefault="00645DED" w:rsidP="00645DED"/>
    <w:tbl>
      <w:tblPr>
        <w:tblStyle w:val="Grilledutableau"/>
        <w:tblW w:w="0" w:type="auto"/>
        <w:tblLook w:val="04A0"/>
      </w:tblPr>
      <w:tblGrid>
        <w:gridCol w:w="4606"/>
        <w:gridCol w:w="4606"/>
      </w:tblGrid>
      <w:tr w:rsidR="0029336D" w:rsidTr="0029336D">
        <w:tc>
          <w:tcPr>
            <w:tcW w:w="4606" w:type="dxa"/>
          </w:tcPr>
          <w:p w:rsidR="0029336D" w:rsidRDefault="0029336D" w:rsidP="0029336D"/>
        </w:tc>
        <w:tc>
          <w:tcPr>
            <w:tcW w:w="4606" w:type="dxa"/>
          </w:tcPr>
          <w:p w:rsidR="0029336D" w:rsidRDefault="0029336D" w:rsidP="0029336D">
            <w:r>
              <w:t xml:space="preserve">Moyennes </w:t>
            </w:r>
          </w:p>
        </w:tc>
      </w:tr>
      <w:tr w:rsidR="0029336D" w:rsidTr="0029336D">
        <w:tc>
          <w:tcPr>
            <w:tcW w:w="4606" w:type="dxa"/>
          </w:tcPr>
          <w:p w:rsidR="0029336D" w:rsidRDefault="0029336D" w:rsidP="0029336D">
            <w:r>
              <w:t>Epreuve « coloration, effets de couleur (E1)</w:t>
            </w:r>
          </w:p>
          <w:p w:rsidR="0029336D" w:rsidRDefault="0029336D" w:rsidP="0029336D"/>
        </w:tc>
        <w:tc>
          <w:tcPr>
            <w:tcW w:w="4606" w:type="dxa"/>
          </w:tcPr>
          <w:p w:rsidR="0029336D" w:rsidRDefault="0029336D" w:rsidP="0029336D">
            <w:r>
              <w:t>10.575</w:t>
            </w:r>
          </w:p>
        </w:tc>
      </w:tr>
      <w:tr w:rsidR="0029336D" w:rsidTr="0029336D">
        <w:tc>
          <w:tcPr>
            <w:tcW w:w="4606" w:type="dxa"/>
          </w:tcPr>
          <w:p w:rsidR="0029336D" w:rsidRDefault="0029336D" w:rsidP="0029336D">
            <w:r>
              <w:t>Coupe transf</w:t>
            </w:r>
            <w:r w:rsidR="00B22C1A">
              <w:t>ormation</w:t>
            </w:r>
            <w:r>
              <w:t>, coiffage dame (E2)</w:t>
            </w:r>
          </w:p>
        </w:tc>
        <w:tc>
          <w:tcPr>
            <w:tcW w:w="4606" w:type="dxa"/>
          </w:tcPr>
          <w:p w:rsidR="0029336D" w:rsidRDefault="0029336D" w:rsidP="0029336D">
            <w:r>
              <w:t>9.975</w:t>
            </w:r>
          </w:p>
        </w:tc>
      </w:tr>
      <w:tr w:rsidR="0029336D" w:rsidTr="0029336D">
        <w:tc>
          <w:tcPr>
            <w:tcW w:w="4606" w:type="dxa"/>
          </w:tcPr>
          <w:p w:rsidR="0029336D" w:rsidRDefault="0029336D" w:rsidP="0029336D">
            <w:r>
              <w:t>Evaluation activité professionnelle (E3)</w:t>
            </w:r>
          </w:p>
        </w:tc>
        <w:tc>
          <w:tcPr>
            <w:tcW w:w="4606" w:type="dxa"/>
          </w:tcPr>
          <w:p w:rsidR="0029336D" w:rsidRDefault="0029336D" w:rsidP="0029336D">
            <w:r>
              <w:t>11.575</w:t>
            </w:r>
          </w:p>
        </w:tc>
      </w:tr>
      <w:tr w:rsidR="0029336D" w:rsidTr="0029336D">
        <w:tc>
          <w:tcPr>
            <w:tcW w:w="4606" w:type="dxa"/>
          </w:tcPr>
          <w:p w:rsidR="0029336D" w:rsidRDefault="0029336D" w:rsidP="0029336D">
            <w:r>
              <w:t xml:space="preserve">Total </w:t>
            </w:r>
          </w:p>
        </w:tc>
        <w:tc>
          <w:tcPr>
            <w:tcW w:w="4606" w:type="dxa"/>
          </w:tcPr>
          <w:p w:rsidR="0029336D" w:rsidRDefault="0029336D" w:rsidP="0029336D">
            <w:r>
              <w:t>10.708</w:t>
            </w:r>
          </w:p>
        </w:tc>
      </w:tr>
    </w:tbl>
    <w:p w:rsidR="0029336D" w:rsidRDefault="00FA2A0E" w:rsidP="0029336D">
      <w:r>
        <w:t>L’ensemble est donc positif et l’épreuve sur dossier E3 présente la meilleure moyenne des trois épreuves.</w:t>
      </w:r>
    </w:p>
    <w:p w:rsidR="0029336D" w:rsidRDefault="0029336D" w:rsidP="00645DED">
      <w:pPr>
        <w:pStyle w:val="Titre1"/>
      </w:pPr>
      <w:r>
        <w:t>Epreuve E3</w:t>
      </w:r>
    </w:p>
    <w:p w:rsidR="0029336D" w:rsidRPr="00FA2A0E" w:rsidRDefault="0029336D" w:rsidP="00645DED">
      <w:pPr>
        <w:pStyle w:val="Titre3"/>
      </w:pPr>
      <w:r w:rsidRPr="00FA2A0E">
        <w:t>Points positifs dégagé</w:t>
      </w:r>
      <w:r w:rsidR="00B22C1A">
        <w:t>s</w:t>
      </w:r>
      <w:r w:rsidRPr="00FA2A0E">
        <w:t xml:space="preserve"> par les enseignants : </w:t>
      </w:r>
    </w:p>
    <w:p w:rsidR="00FA2A0E" w:rsidRDefault="00FA2A0E" w:rsidP="00645DED">
      <w:pPr>
        <w:pStyle w:val="Paragraphedeliste"/>
        <w:numPr>
          <w:ilvl w:val="0"/>
          <w:numId w:val="3"/>
        </w:numPr>
        <w:spacing w:after="0" w:line="240" w:lineRule="auto"/>
      </w:pPr>
      <w:r>
        <w:t>Un fort investissement</w:t>
      </w:r>
      <w:r w:rsidR="0029336D">
        <w:t xml:space="preserve"> de certains élèves</w:t>
      </w:r>
      <w:r>
        <w:t xml:space="preserve">, </w:t>
      </w:r>
    </w:p>
    <w:p w:rsidR="00FA2A0E" w:rsidRDefault="00FA2A0E" w:rsidP="00645DED">
      <w:pPr>
        <w:pStyle w:val="Paragraphedeliste"/>
        <w:numPr>
          <w:ilvl w:val="0"/>
          <w:numId w:val="3"/>
        </w:numPr>
        <w:spacing w:after="0" w:line="240" w:lineRule="auto"/>
      </w:pPr>
      <w:r>
        <w:t>Travail de réflexion, différent des autres épreuves</w:t>
      </w:r>
      <w:r w:rsidR="00B22C1A">
        <w:t>,</w:t>
      </w:r>
      <w:r>
        <w:t xml:space="preserve"> </w:t>
      </w:r>
    </w:p>
    <w:p w:rsidR="0029336D" w:rsidRDefault="00FA2A0E" w:rsidP="00645DED">
      <w:pPr>
        <w:pStyle w:val="Paragraphedeliste"/>
        <w:numPr>
          <w:ilvl w:val="0"/>
          <w:numId w:val="3"/>
        </w:numPr>
        <w:spacing w:after="0" w:line="240" w:lineRule="auto"/>
      </w:pPr>
      <w:r>
        <w:t>L</w:t>
      </w:r>
      <w:r w:rsidR="006D4989">
        <w:t xml:space="preserve">a réalisation des dossiers a </w:t>
      </w:r>
      <w:r>
        <w:t>mis</w:t>
      </w:r>
      <w:r w:rsidR="006D4989">
        <w:t xml:space="preserve"> en </w:t>
      </w:r>
      <w:r>
        <w:t xml:space="preserve">évidence la nécessité de mettre en </w:t>
      </w:r>
      <w:r w:rsidR="006D4989">
        <w:t xml:space="preserve">relation de nombreux savoirs (technique, biologie, </w:t>
      </w:r>
      <w:r>
        <w:t>technologie des produits, etc.),</w:t>
      </w:r>
    </w:p>
    <w:p w:rsidR="00FA2A0E" w:rsidRDefault="00FA2A0E" w:rsidP="00645DED">
      <w:pPr>
        <w:pStyle w:val="Paragraphedeliste"/>
        <w:numPr>
          <w:ilvl w:val="0"/>
          <w:numId w:val="3"/>
        </w:numPr>
        <w:spacing w:after="0" w:line="240" w:lineRule="auto"/>
      </w:pPr>
      <w:r>
        <w:t>Beaucoup d</w:t>
      </w:r>
      <w:r w:rsidR="00B22C1A">
        <w:t>’</w:t>
      </w:r>
      <w:r>
        <w:t>oraux ont été de bonne qualité, montrant une grande préparation des candidats par les équipes.</w:t>
      </w:r>
    </w:p>
    <w:p w:rsidR="00FA2A0E" w:rsidRPr="00FA2A0E" w:rsidRDefault="00FA2A0E" w:rsidP="00645DED">
      <w:pPr>
        <w:pStyle w:val="Titre3"/>
      </w:pPr>
      <w:r w:rsidRPr="00FA2A0E">
        <w:t>Points à améliorer :</w:t>
      </w:r>
    </w:p>
    <w:p w:rsidR="00FA2A0E" w:rsidRDefault="00FA2A0E" w:rsidP="00645DED">
      <w:pPr>
        <w:pStyle w:val="Paragraphedeliste"/>
        <w:numPr>
          <w:ilvl w:val="0"/>
          <w:numId w:val="4"/>
        </w:numPr>
        <w:spacing w:after="0" w:line="240" w:lineRule="auto"/>
      </w:pPr>
      <w:r>
        <w:t>Quelques dossiers incomplets,</w:t>
      </w:r>
    </w:p>
    <w:p w:rsidR="00FA2A0E" w:rsidRDefault="00FA2A0E" w:rsidP="00645DED">
      <w:pPr>
        <w:pStyle w:val="Paragraphedeliste"/>
        <w:numPr>
          <w:ilvl w:val="0"/>
          <w:numId w:val="4"/>
        </w:numPr>
        <w:spacing w:after="0" w:line="240" w:lineRule="auto"/>
      </w:pPr>
      <w:r>
        <w:t>Des annexes peu utilisées,</w:t>
      </w:r>
    </w:p>
    <w:p w:rsidR="00FA2A0E" w:rsidRDefault="00FA2A0E" w:rsidP="00645DED">
      <w:pPr>
        <w:pStyle w:val="Paragraphedeliste"/>
        <w:numPr>
          <w:ilvl w:val="0"/>
          <w:numId w:val="4"/>
        </w:numPr>
        <w:spacing w:after="0" w:line="240" w:lineRule="auto"/>
      </w:pPr>
      <w:r>
        <w:t>Les jurys ont regretté le manque de temps pour la lecture des dossiers en amont.</w:t>
      </w:r>
    </w:p>
    <w:p w:rsidR="00205887" w:rsidRDefault="00205887" w:rsidP="00645DED">
      <w:pPr>
        <w:pStyle w:val="Paragraphedeliste"/>
        <w:numPr>
          <w:ilvl w:val="0"/>
          <w:numId w:val="4"/>
        </w:numPr>
        <w:spacing w:after="0" w:line="240" w:lineRule="auto"/>
      </w:pPr>
      <w:r>
        <w:t>Les jurys ont parfois eu des doutes sur les questions à poser au candidat, en regard du référentiel.</w:t>
      </w:r>
    </w:p>
    <w:p w:rsidR="00645DED" w:rsidRDefault="00645DED" w:rsidP="00645DED">
      <w:pPr>
        <w:pStyle w:val="Paragraphedeliste"/>
        <w:spacing w:after="0" w:line="240" w:lineRule="auto"/>
      </w:pPr>
    </w:p>
    <w:p w:rsidR="00205887" w:rsidRDefault="00205887" w:rsidP="00FA2A0E">
      <w:pPr>
        <w:spacing w:after="0" w:line="240" w:lineRule="auto"/>
      </w:pPr>
    </w:p>
    <w:p w:rsidR="00205887" w:rsidRDefault="00205887" w:rsidP="00645DED">
      <w:pPr>
        <w:pStyle w:val="Titre1"/>
      </w:pPr>
      <w:r>
        <w:lastRenderedPageBreak/>
        <w:t>Questions/ réponses</w:t>
      </w:r>
    </w:p>
    <w:p w:rsidR="00645DED" w:rsidRPr="00645DED" w:rsidRDefault="00645DED" w:rsidP="00645DED"/>
    <w:p w:rsidR="00205887" w:rsidRPr="00645DED" w:rsidRDefault="009C0C77" w:rsidP="00645DED">
      <w:pPr>
        <w:pStyle w:val="Paragraphedeliste"/>
        <w:numPr>
          <w:ilvl w:val="0"/>
          <w:numId w:val="5"/>
        </w:numPr>
        <w:spacing w:after="0" w:line="240" w:lineRule="auto"/>
        <w:rPr>
          <w:b/>
        </w:rPr>
      </w:pPr>
      <w:r w:rsidRPr="00645DED">
        <w:rPr>
          <w:b/>
        </w:rPr>
        <w:t>Doit-on obligatoirement poser des questions du domaine S</w:t>
      </w:r>
      <w:r w:rsidR="00F729D9" w:rsidRPr="00645DED">
        <w:rPr>
          <w:b/>
        </w:rPr>
        <w:t>2</w:t>
      </w:r>
      <w:r w:rsidRPr="00645DED">
        <w:rPr>
          <w:b/>
        </w:rPr>
        <w:t xml:space="preserve"> et S3 ?</w:t>
      </w:r>
    </w:p>
    <w:p w:rsidR="009C0C77" w:rsidRDefault="009C0C77" w:rsidP="00516A97">
      <w:pPr>
        <w:pStyle w:val="Paragraphedeliste"/>
        <w:spacing w:after="0" w:line="240" w:lineRule="auto"/>
      </w:pPr>
      <w:r>
        <w:t xml:space="preserve">Oui, c’est stipulé dans le référentiel page 28. Lors de cette réunion, on a pu voir que les questions à poser peuvent être très variées. </w:t>
      </w:r>
    </w:p>
    <w:p w:rsidR="00645DED" w:rsidRDefault="00645DED" w:rsidP="00645DED">
      <w:pPr>
        <w:pStyle w:val="Paragraphedeliste"/>
        <w:spacing w:after="0" w:line="240" w:lineRule="auto"/>
      </w:pPr>
    </w:p>
    <w:p w:rsidR="009C0C77" w:rsidRPr="00645DED" w:rsidRDefault="009C0C77" w:rsidP="00645DED">
      <w:pPr>
        <w:pStyle w:val="Paragraphedeliste"/>
        <w:numPr>
          <w:ilvl w:val="0"/>
          <w:numId w:val="5"/>
        </w:numPr>
        <w:spacing w:after="0" w:line="240" w:lineRule="auto"/>
        <w:rPr>
          <w:b/>
        </w:rPr>
      </w:pPr>
      <w:r w:rsidRPr="00645DED">
        <w:rPr>
          <w:b/>
        </w:rPr>
        <w:t>Peut-on poser des questions de technologie (ex : composition d’un mélange colorant) ?</w:t>
      </w:r>
    </w:p>
    <w:p w:rsidR="00F729D9" w:rsidRDefault="009C0C77" w:rsidP="00516A97">
      <w:pPr>
        <w:pStyle w:val="Paragraphedeliste"/>
        <w:spacing w:after="0" w:line="240" w:lineRule="auto"/>
      </w:pPr>
      <w:r>
        <w:t>Oui, si le candidat a présenté une technique de coloration dans son dossier</w:t>
      </w:r>
      <w:r w:rsidR="00516A97">
        <w:t>. (</w:t>
      </w:r>
      <w:r w:rsidR="00B22C1A">
        <w:t>Certains</w:t>
      </w:r>
      <w:r w:rsidR="00516A97">
        <w:t xml:space="preserve"> composants sont allergisants, par exemple).</w:t>
      </w:r>
    </w:p>
    <w:p w:rsidR="00645DED" w:rsidRDefault="00645DED" w:rsidP="00645DED">
      <w:pPr>
        <w:pStyle w:val="Paragraphedeliste"/>
        <w:spacing w:after="0" w:line="240" w:lineRule="auto"/>
      </w:pPr>
    </w:p>
    <w:p w:rsidR="009C0C77" w:rsidRPr="00645DED" w:rsidRDefault="009C0C77" w:rsidP="00645DED">
      <w:pPr>
        <w:pStyle w:val="Paragraphedeliste"/>
        <w:numPr>
          <w:ilvl w:val="0"/>
          <w:numId w:val="5"/>
        </w:numPr>
        <w:spacing w:after="0" w:line="240" w:lineRule="auto"/>
        <w:rPr>
          <w:b/>
        </w:rPr>
      </w:pPr>
      <w:r w:rsidRPr="00645DED">
        <w:rPr>
          <w:b/>
        </w:rPr>
        <w:t>Peut-on poser des questions de technique professionnelle (ex : technique de séparation pour réaliser un carré) ?</w:t>
      </w:r>
    </w:p>
    <w:p w:rsidR="009C0C77" w:rsidRDefault="009C0C77" w:rsidP="00516A97">
      <w:pPr>
        <w:pStyle w:val="Paragraphedeliste"/>
        <w:spacing w:after="0" w:line="240" w:lineRule="auto"/>
      </w:pPr>
      <w:r>
        <w:t xml:space="preserve">Oui, si cette </w:t>
      </w:r>
      <w:r w:rsidR="00F729D9">
        <w:t>coupe</w:t>
      </w:r>
      <w:r>
        <w:t xml:space="preserve"> est présentée dans son dossier. </w:t>
      </w:r>
    </w:p>
    <w:p w:rsidR="00516A97" w:rsidRDefault="00516A97" w:rsidP="00516A97">
      <w:pPr>
        <w:pStyle w:val="Paragraphedeliste"/>
        <w:spacing w:after="0" w:line="240" w:lineRule="auto"/>
      </w:pPr>
    </w:p>
    <w:p w:rsidR="00F729D9" w:rsidRDefault="00F729D9" w:rsidP="00F729D9">
      <w:pPr>
        <w:spacing w:after="0" w:line="240" w:lineRule="auto"/>
      </w:pPr>
      <w:r>
        <w:t xml:space="preserve">Cela permet de « vérifier la maitrise des connaissances techniques » et la « maitrise des contenus du dossier et de l’exposé » (référentiel page 28). </w:t>
      </w:r>
    </w:p>
    <w:p w:rsidR="00F729D9" w:rsidRDefault="00F729D9" w:rsidP="00F729D9">
      <w:pPr>
        <w:spacing w:after="0" w:line="240" w:lineRule="auto"/>
        <w:rPr>
          <w:u w:val="single"/>
        </w:rPr>
      </w:pPr>
      <w:r w:rsidRPr="00F729D9">
        <w:rPr>
          <w:u w:val="single"/>
        </w:rPr>
        <w:t>Ces questions doivent être en relation directe avec le dossier.</w:t>
      </w:r>
    </w:p>
    <w:p w:rsidR="00645DED" w:rsidRPr="00F729D9" w:rsidRDefault="00645DED" w:rsidP="00F729D9">
      <w:pPr>
        <w:spacing w:after="0" w:line="240" w:lineRule="auto"/>
        <w:rPr>
          <w:u w:val="single"/>
        </w:rPr>
      </w:pPr>
    </w:p>
    <w:p w:rsidR="00F729D9" w:rsidRPr="00645DED" w:rsidRDefault="00F729D9" w:rsidP="00645DED">
      <w:pPr>
        <w:pStyle w:val="Paragraphedeliste"/>
        <w:numPr>
          <w:ilvl w:val="0"/>
          <w:numId w:val="5"/>
        </w:numPr>
        <w:spacing w:after="0" w:line="240" w:lineRule="auto"/>
        <w:rPr>
          <w:b/>
        </w:rPr>
      </w:pPr>
      <w:r w:rsidRPr="00645DED">
        <w:rPr>
          <w:b/>
        </w:rPr>
        <w:t>Peut-on poser des questions de biologie ? (ex : rôle des mélanocytes)</w:t>
      </w:r>
    </w:p>
    <w:p w:rsidR="00F729D9" w:rsidRDefault="00F729D9" w:rsidP="00516A97">
      <w:pPr>
        <w:pStyle w:val="Paragraphedeliste"/>
        <w:spacing w:after="0" w:line="240" w:lineRule="auto"/>
      </w:pPr>
      <w:r>
        <w:t>Cette question très précise de biologie semble difficile à rattacher à une technique (coupe, coloration, coiffage) présentée par le candidat. Dans ce cas, cette question n’a pas lieu d’être car elle ne fait pas partie du contenu de son dossier ou de son exposé.</w:t>
      </w:r>
    </w:p>
    <w:p w:rsidR="00645DED" w:rsidRDefault="00645DED" w:rsidP="00645DED">
      <w:pPr>
        <w:pStyle w:val="Paragraphedeliste"/>
        <w:spacing w:after="0" w:line="240" w:lineRule="auto"/>
      </w:pPr>
    </w:p>
    <w:p w:rsidR="00F729D9" w:rsidRDefault="00F729D9" w:rsidP="00F729D9">
      <w:pPr>
        <w:spacing w:after="0" w:line="240" w:lineRule="auto"/>
        <w:rPr>
          <w:b/>
        </w:rPr>
      </w:pPr>
      <w:r>
        <w:t>En résumé, en plus des questions portant sur le domaine S2 et S3, il est possible de questionner le candidat</w:t>
      </w:r>
      <w:r w:rsidR="00645DED">
        <w:t xml:space="preserve"> dans le but </w:t>
      </w:r>
      <w:r w:rsidR="00645DED" w:rsidRPr="00B22C1A">
        <w:rPr>
          <w:b/>
        </w:rPr>
        <w:t>d’évaluer ses connaissances techniques</w:t>
      </w:r>
      <w:r w:rsidR="00645DED">
        <w:t xml:space="preserve"> sur les </w:t>
      </w:r>
      <w:r w:rsidR="00645DED">
        <w:rPr>
          <w:b/>
        </w:rPr>
        <w:t>activités</w:t>
      </w:r>
      <w:r w:rsidR="00645DED">
        <w:t xml:space="preserve"> </w:t>
      </w:r>
      <w:r w:rsidR="00645DED" w:rsidRPr="00645DED">
        <w:rPr>
          <w:b/>
        </w:rPr>
        <w:t>présentées dans le dossier</w:t>
      </w:r>
      <w:r w:rsidR="00645DED">
        <w:t xml:space="preserve"> et/ ou  </w:t>
      </w:r>
      <w:r w:rsidR="00645DED" w:rsidRPr="00645DED">
        <w:rPr>
          <w:b/>
        </w:rPr>
        <w:t>développées dans son exposé.</w:t>
      </w:r>
    </w:p>
    <w:p w:rsidR="00516A97" w:rsidRDefault="00516A97" w:rsidP="00516A97">
      <w:pPr>
        <w:spacing w:after="0" w:line="240" w:lineRule="auto"/>
        <w:rPr>
          <w:b/>
        </w:rPr>
      </w:pPr>
    </w:p>
    <w:p w:rsidR="00516A97" w:rsidRDefault="00516A97" w:rsidP="00516A97">
      <w:pPr>
        <w:pStyle w:val="Paragraphedeliste"/>
        <w:numPr>
          <w:ilvl w:val="0"/>
          <w:numId w:val="5"/>
        </w:numPr>
        <w:spacing w:after="0" w:line="240" w:lineRule="auto"/>
        <w:rPr>
          <w:b/>
        </w:rPr>
      </w:pPr>
      <w:r>
        <w:rPr>
          <w:b/>
        </w:rPr>
        <w:t>Le candidat peut-il avoir un document -guide avec lui pendant son oral ? (ex : plan de son exposé, mots-clés…)</w:t>
      </w:r>
    </w:p>
    <w:p w:rsidR="00516A97" w:rsidRPr="00516A97" w:rsidRDefault="00516A97" w:rsidP="00516A97">
      <w:pPr>
        <w:pStyle w:val="Paragraphedeliste"/>
        <w:spacing w:after="0" w:line="240" w:lineRule="auto"/>
      </w:pPr>
      <w:r w:rsidRPr="00516A97">
        <w:t xml:space="preserve">Oui, rien ne l’interdit dans le référentiel. </w:t>
      </w:r>
    </w:p>
    <w:p w:rsidR="00645DED" w:rsidRDefault="00645DED" w:rsidP="00F729D9">
      <w:pPr>
        <w:spacing w:after="0" w:line="240" w:lineRule="auto"/>
        <w:rPr>
          <w:b/>
        </w:rPr>
      </w:pPr>
    </w:p>
    <w:p w:rsidR="00516A97" w:rsidRDefault="00516A97" w:rsidP="00516A97">
      <w:pPr>
        <w:pStyle w:val="Titre1"/>
      </w:pPr>
      <w:r>
        <w:t>Bilan</w:t>
      </w:r>
    </w:p>
    <w:p w:rsidR="00516A97" w:rsidRDefault="00FC48C7" w:rsidP="00516A97">
      <w:r>
        <w:t>Le retour sur l’épreuve E3 est globalement positif.</w:t>
      </w:r>
    </w:p>
    <w:p w:rsidR="00FC48C7" w:rsidRDefault="00FC48C7" w:rsidP="00516A97">
      <w:r>
        <w:t>Les enseignants ayant participé à cette épreuve recommandent aux équipes de :</w:t>
      </w:r>
    </w:p>
    <w:p w:rsidR="00FC48C7" w:rsidRDefault="00FC48C7" w:rsidP="00FC48C7">
      <w:pPr>
        <w:pStyle w:val="Paragraphedeliste"/>
        <w:numPr>
          <w:ilvl w:val="0"/>
          <w:numId w:val="5"/>
        </w:numPr>
        <w:spacing w:after="0" w:line="240" w:lineRule="auto"/>
      </w:pPr>
      <w:r>
        <w:t>Mettre en place un échéancier avec les candidats pour la réalisation du dossier.</w:t>
      </w:r>
    </w:p>
    <w:p w:rsidR="00FC48C7" w:rsidRDefault="00FC48C7" w:rsidP="00FC48C7">
      <w:pPr>
        <w:pStyle w:val="Paragraphedeliste"/>
        <w:numPr>
          <w:ilvl w:val="0"/>
          <w:numId w:val="5"/>
        </w:numPr>
        <w:spacing w:after="0" w:line="240" w:lineRule="auto"/>
      </w:pPr>
      <w:r>
        <w:t>Proposer aux candidats une grille d’évaluation ou  d’autoévaluation du dossier permettant de vérifier que le contenu du dossier contient tous les attendus.</w:t>
      </w:r>
    </w:p>
    <w:p w:rsidR="00FC48C7" w:rsidRDefault="00FC48C7" w:rsidP="00FC48C7">
      <w:pPr>
        <w:pStyle w:val="Paragraphedeliste"/>
        <w:numPr>
          <w:ilvl w:val="0"/>
          <w:numId w:val="5"/>
        </w:numPr>
        <w:spacing w:after="0" w:line="240" w:lineRule="auto"/>
      </w:pPr>
      <w:r>
        <w:t>D’inciter les candidats à choisir et utiliser judicieusement les annexes du dossier.</w:t>
      </w:r>
    </w:p>
    <w:p w:rsidR="00FC48C7" w:rsidRDefault="00FC48C7" w:rsidP="00FC48C7">
      <w:pPr>
        <w:pStyle w:val="Paragraphedeliste"/>
        <w:numPr>
          <w:ilvl w:val="0"/>
          <w:numId w:val="5"/>
        </w:numPr>
        <w:spacing w:after="0" w:line="240" w:lineRule="auto"/>
      </w:pPr>
      <w:r>
        <w:t>D’entrainer en amont à l’oral les candidats. Dans certaines équipes, des enseignants de plusieurs disciplines ont pu y participer (français, arts plastiques…)</w:t>
      </w:r>
    </w:p>
    <w:p w:rsidR="00FC48C7" w:rsidRDefault="00FC48C7" w:rsidP="00FC48C7">
      <w:pPr>
        <w:spacing w:after="0" w:line="240" w:lineRule="auto"/>
      </w:pPr>
    </w:p>
    <w:p w:rsidR="00FC48C7" w:rsidRPr="00516A97" w:rsidRDefault="00FC48C7" w:rsidP="00FC48C7">
      <w:pPr>
        <w:spacing w:after="0" w:line="240" w:lineRule="auto"/>
      </w:pPr>
      <w:r>
        <w:t>Le temps de lecture des dossiers par les jurys a souvent été jugé trop court pour apprécier leur qualité et préparer des questions réellement ciblées.</w:t>
      </w:r>
    </w:p>
    <w:p w:rsidR="00645DED" w:rsidRPr="00645DED" w:rsidRDefault="00645DED" w:rsidP="00F729D9">
      <w:pPr>
        <w:spacing w:after="0" w:line="240" w:lineRule="auto"/>
      </w:pPr>
    </w:p>
    <w:p w:rsidR="00F729D9" w:rsidRDefault="00F729D9" w:rsidP="00F729D9">
      <w:pPr>
        <w:spacing w:after="0" w:line="240" w:lineRule="auto"/>
      </w:pPr>
    </w:p>
    <w:p w:rsidR="00B22C1A" w:rsidRPr="00B22C1A" w:rsidRDefault="00B22C1A" w:rsidP="00F729D9">
      <w:pPr>
        <w:spacing w:after="0" w:line="240" w:lineRule="auto"/>
        <w:rPr>
          <w:sz w:val="20"/>
        </w:rPr>
      </w:pPr>
      <w:r w:rsidRPr="00B22C1A">
        <w:rPr>
          <w:sz w:val="20"/>
        </w:rPr>
        <w:t>Merci à Mmes Bolognini, Lagrange et Penneçot pour leur cont</w:t>
      </w:r>
      <w:r>
        <w:rPr>
          <w:sz w:val="20"/>
        </w:rPr>
        <w:t>r</w:t>
      </w:r>
      <w:r w:rsidRPr="00B22C1A">
        <w:rPr>
          <w:sz w:val="20"/>
        </w:rPr>
        <w:t>ibution à la rédaction de ce document.</w:t>
      </w:r>
    </w:p>
    <w:sectPr w:rsidR="00B22C1A" w:rsidRPr="00B22C1A" w:rsidSect="0004414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79B" w:rsidRDefault="00A5379B" w:rsidP="00B22C1A">
      <w:pPr>
        <w:spacing w:after="0" w:line="240" w:lineRule="auto"/>
      </w:pPr>
      <w:r>
        <w:separator/>
      </w:r>
    </w:p>
  </w:endnote>
  <w:endnote w:type="continuationSeparator" w:id="0">
    <w:p w:rsidR="00A5379B" w:rsidRDefault="00A5379B" w:rsidP="00B22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C1A" w:rsidRDefault="00B22C1A">
    <w:pPr>
      <w:pStyle w:val="Pieddepage"/>
      <w:pBdr>
        <w:top w:val="thinThickSmallGap" w:sz="24" w:space="1" w:color="622423" w:themeColor="accent2" w:themeShade="7F"/>
      </w:pBdr>
      <w:rPr>
        <w:rFonts w:asciiTheme="majorHAnsi" w:hAnsiTheme="majorHAnsi"/>
      </w:rPr>
    </w:pPr>
    <w:r w:rsidRPr="00B22C1A">
      <w:rPr>
        <w:rFonts w:asciiTheme="majorHAnsi" w:hAnsiTheme="majorHAnsi"/>
        <w:sz w:val="18"/>
      </w:rPr>
      <w:t>Valérie Méry  Décembre 2016</w:t>
    </w:r>
    <w:r w:rsidRPr="00B22C1A">
      <w:rPr>
        <w:rFonts w:asciiTheme="majorHAnsi" w:hAnsiTheme="majorHAnsi"/>
        <w:sz w:val="18"/>
      </w:rPr>
      <w:ptab w:relativeTo="margin" w:alignment="right" w:leader="none"/>
    </w:r>
    <w:r w:rsidRPr="00B22C1A">
      <w:rPr>
        <w:rFonts w:asciiTheme="majorHAnsi" w:hAnsiTheme="majorHAnsi"/>
        <w:sz w:val="18"/>
      </w:rPr>
      <w:t xml:space="preserve">Page </w:t>
    </w:r>
    <w:fldSimple w:instr=" PAGE   \* MERGEFORMAT ">
      <w:r w:rsidR="00557F94" w:rsidRPr="00557F94">
        <w:rPr>
          <w:rFonts w:asciiTheme="majorHAnsi" w:hAnsiTheme="majorHAnsi"/>
          <w:noProof/>
        </w:rPr>
        <w:t>2</w:t>
      </w:r>
    </w:fldSimple>
  </w:p>
  <w:p w:rsidR="00B22C1A" w:rsidRDefault="00B22C1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79B" w:rsidRDefault="00A5379B" w:rsidP="00B22C1A">
      <w:pPr>
        <w:spacing w:after="0" w:line="240" w:lineRule="auto"/>
      </w:pPr>
      <w:r>
        <w:separator/>
      </w:r>
    </w:p>
  </w:footnote>
  <w:footnote w:type="continuationSeparator" w:id="0">
    <w:p w:rsidR="00A5379B" w:rsidRDefault="00A5379B" w:rsidP="00B22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213FA"/>
    <w:multiLevelType w:val="hybridMultilevel"/>
    <w:tmpl w:val="1208FC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941464"/>
    <w:multiLevelType w:val="hybridMultilevel"/>
    <w:tmpl w:val="F0F2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AE270F"/>
    <w:multiLevelType w:val="hybridMultilevel"/>
    <w:tmpl w:val="4E86B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BE3BD5"/>
    <w:multiLevelType w:val="hybridMultilevel"/>
    <w:tmpl w:val="007E1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2A741C"/>
    <w:multiLevelType w:val="hybridMultilevel"/>
    <w:tmpl w:val="A238BC28"/>
    <w:lvl w:ilvl="0" w:tplc="57F24F88">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914DD"/>
    <w:rsid w:val="0004414C"/>
    <w:rsid w:val="00096B98"/>
    <w:rsid w:val="001914DD"/>
    <w:rsid w:val="00205887"/>
    <w:rsid w:val="0029336D"/>
    <w:rsid w:val="00516A97"/>
    <w:rsid w:val="00557F94"/>
    <w:rsid w:val="005A7853"/>
    <w:rsid w:val="00645DED"/>
    <w:rsid w:val="006D4989"/>
    <w:rsid w:val="009C0C77"/>
    <w:rsid w:val="00A5379B"/>
    <w:rsid w:val="00B22C1A"/>
    <w:rsid w:val="00DA576F"/>
    <w:rsid w:val="00F729D9"/>
    <w:rsid w:val="00FA2A0E"/>
    <w:rsid w:val="00FC48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4C"/>
  </w:style>
  <w:style w:type="paragraph" w:styleId="Titre1">
    <w:name w:val="heading 1"/>
    <w:basedOn w:val="Normal"/>
    <w:next w:val="Normal"/>
    <w:link w:val="Titre1Car"/>
    <w:uiPriority w:val="9"/>
    <w:qFormat/>
    <w:rsid w:val="00645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45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45D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4DD"/>
    <w:pPr>
      <w:ind w:left="720"/>
      <w:contextualSpacing/>
    </w:pPr>
  </w:style>
  <w:style w:type="table" w:styleId="Grilledutableau">
    <w:name w:val="Table Grid"/>
    <w:basedOn w:val="TableauNormal"/>
    <w:uiPriority w:val="59"/>
    <w:rsid w:val="00293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5DED"/>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645DED"/>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645DED"/>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645D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45DED"/>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645D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45DED"/>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semiHidden/>
    <w:unhideWhenUsed/>
    <w:rsid w:val="00B22C1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22C1A"/>
  </w:style>
  <w:style w:type="paragraph" w:styleId="Pieddepage">
    <w:name w:val="footer"/>
    <w:basedOn w:val="Normal"/>
    <w:link w:val="PieddepageCar"/>
    <w:uiPriority w:val="99"/>
    <w:unhideWhenUsed/>
    <w:rsid w:val="00B22C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2C1A"/>
  </w:style>
  <w:style w:type="paragraph" w:styleId="Textedebulles">
    <w:name w:val="Balloon Text"/>
    <w:basedOn w:val="Normal"/>
    <w:link w:val="TextedebullesCar"/>
    <w:uiPriority w:val="99"/>
    <w:semiHidden/>
    <w:unhideWhenUsed/>
    <w:rsid w:val="00B22C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243755">
      <w:bodyDiv w:val="1"/>
      <w:marLeft w:val="0"/>
      <w:marRight w:val="0"/>
      <w:marTop w:val="0"/>
      <w:marBottom w:val="0"/>
      <w:divBdr>
        <w:top w:val="none" w:sz="0" w:space="0" w:color="auto"/>
        <w:left w:val="none" w:sz="0" w:space="0" w:color="auto"/>
        <w:bottom w:val="none" w:sz="0" w:space="0" w:color="auto"/>
        <w:right w:val="none" w:sz="0" w:space="0" w:color="auto"/>
      </w:divBdr>
      <w:divsChild>
        <w:div w:id="362873785">
          <w:marLeft w:val="0"/>
          <w:marRight w:val="0"/>
          <w:marTop w:val="0"/>
          <w:marBottom w:val="0"/>
          <w:divBdr>
            <w:top w:val="none" w:sz="0" w:space="0" w:color="auto"/>
            <w:left w:val="none" w:sz="0" w:space="0" w:color="auto"/>
            <w:bottom w:val="none" w:sz="0" w:space="0" w:color="auto"/>
            <w:right w:val="none" w:sz="0" w:space="0" w:color="auto"/>
          </w:divBdr>
        </w:div>
        <w:div w:id="1671058913">
          <w:marLeft w:val="0"/>
          <w:marRight w:val="0"/>
          <w:marTop w:val="0"/>
          <w:marBottom w:val="0"/>
          <w:divBdr>
            <w:top w:val="none" w:sz="0" w:space="0" w:color="auto"/>
            <w:left w:val="none" w:sz="0" w:space="0" w:color="auto"/>
            <w:bottom w:val="none" w:sz="0" w:space="0" w:color="auto"/>
            <w:right w:val="none" w:sz="0" w:space="0" w:color="auto"/>
          </w:divBdr>
        </w:div>
        <w:div w:id="730083675">
          <w:marLeft w:val="0"/>
          <w:marRight w:val="0"/>
          <w:marTop w:val="0"/>
          <w:marBottom w:val="0"/>
          <w:divBdr>
            <w:top w:val="none" w:sz="0" w:space="0" w:color="auto"/>
            <w:left w:val="none" w:sz="0" w:space="0" w:color="auto"/>
            <w:bottom w:val="none" w:sz="0" w:space="0" w:color="auto"/>
            <w:right w:val="none" w:sz="0" w:space="0" w:color="auto"/>
          </w:divBdr>
        </w:div>
      </w:divsChild>
    </w:div>
    <w:div w:id="2069263429">
      <w:bodyDiv w:val="1"/>
      <w:marLeft w:val="0"/>
      <w:marRight w:val="0"/>
      <w:marTop w:val="0"/>
      <w:marBottom w:val="0"/>
      <w:divBdr>
        <w:top w:val="none" w:sz="0" w:space="0" w:color="auto"/>
        <w:left w:val="none" w:sz="0" w:space="0" w:color="auto"/>
        <w:bottom w:val="none" w:sz="0" w:space="0" w:color="auto"/>
        <w:right w:val="none" w:sz="0" w:space="0" w:color="auto"/>
      </w:divBdr>
      <w:divsChild>
        <w:div w:id="1283880980">
          <w:marLeft w:val="0"/>
          <w:marRight w:val="0"/>
          <w:marTop w:val="0"/>
          <w:marBottom w:val="0"/>
          <w:divBdr>
            <w:top w:val="none" w:sz="0" w:space="0" w:color="auto"/>
            <w:left w:val="none" w:sz="0" w:space="0" w:color="auto"/>
            <w:bottom w:val="none" w:sz="0" w:space="0" w:color="auto"/>
            <w:right w:val="none" w:sz="0" w:space="0" w:color="auto"/>
          </w:divBdr>
        </w:div>
        <w:div w:id="1096362416">
          <w:marLeft w:val="0"/>
          <w:marRight w:val="0"/>
          <w:marTop w:val="0"/>
          <w:marBottom w:val="0"/>
          <w:divBdr>
            <w:top w:val="none" w:sz="0" w:space="0" w:color="auto"/>
            <w:left w:val="none" w:sz="0" w:space="0" w:color="auto"/>
            <w:bottom w:val="none" w:sz="0" w:space="0" w:color="auto"/>
            <w:right w:val="none" w:sz="0" w:space="0" w:color="auto"/>
          </w:divBdr>
        </w:div>
        <w:div w:id="121138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3162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Conseil Regional de Bourgogne</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asgeneral2</dc:creator>
  <cp:lastModifiedBy>Charlotte Samsoen</cp:lastModifiedBy>
  <cp:revision>2</cp:revision>
  <dcterms:created xsi:type="dcterms:W3CDTF">2017-01-18T19:01:00Z</dcterms:created>
  <dcterms:modified xsi:type="dcterms:W3CDTF">2017-01-18T19:01:00Z</dcterms:modified>
</cp:coreProperties>
</file>